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75E9" w:rsidRPr="00DA67B4" w:rsidRDefault="00DA67B4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</w:p>
    <w:p w:rsidR="00553DEE" w:rsidRDefault="00553DEE" w:rsidP="00553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B4" w:rsidRPr="00DA67B4" w:rsidRDefault="00DA67B4" w:rsidP="00DA67B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Муниципальное образование «Николаевское городское поселение»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Смидовичского муниципального района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Еврейской автономной области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АДМИНИСТРАЦИЯ ГОРОДСКОГО ПОСЕЛЕНИЯ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A67B4" w:rsidRPr="00DA67B4" w:rsidRDefault="00DA67B4" w:rsidP="00DA67B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</w:p>
    <w:p w:rsidR="00DA67B4" w:rsidRPr="00DA67B4" w:rsidRDefault="00DA67B4" w:rsidP="00DA67B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09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.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10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.201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9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bookmarkStart w:id="0" w:name="_GoBack"/>
      <w:bookmarkEnd w:id="0"/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 xml:space="preserve">    № 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330</w:t>
      </w:r>
    </w:p>
    <w:p w:rsidR="00DA67B4" w:rsidRPr="00DA67B4" w:rsidRDefault="00DA67B4" w:rsidP="00DA67B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пос.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Николаевка</w:t>
      </w:r>
    </w:p>
    <w:p w:rsidR="00DA67B4" w:rsidRPr="00DA67B4" w:rsidRDefault="00DA67B4" w:rsidP="00DA67B4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p w:rsidR="00DA67B4" w:rsidRPr="00DA67B4" w:rsidRDefault="00DA67B4" w:rsidP="00DA67B4">
      <w:pPr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О внесении изменений в муниципальную программу «Культура муниципального образования «Николаевское городское поселение» на 2017 – 2019 годы», утвержденную постановлением администрации Николаевского городского поселения Смидовичского муниципального района Еврейской автономной области от 02.05.2017 №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280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(в редакции постановления администрации от 11.08.2017 №474, от 13.09.2017 №495, от 28.11.2017 №599, от 29.12.2017 №664, от 08.02.2018 №54,от 05.03.2018 №107, от 16.05.2018 №220, от 27.07.2018 №332, от 01.11.2018 №418, от 07.12.2018 №476, от 29.12.2018 №515, от 13.05.2019 №178)</w:t>
      </w:r>
    </w:p>
    <w:p w:rsidR="00DA67B4" w:rsidRPr="00DA67B4" w:rsidRDefault="00DA67B4" w:rsidP="00DA67B4">
      <w:pPr>
        <w:tabs>
          <w:tab w:val="left" w:pos="709"/>
        </w:tabs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В соответствии с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Бюджетн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>ым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кодекс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>ом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Российской Федерации, 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поселение», постановлением администрации городского поселения от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25.02.2014№ 16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«Об утверждении порядка принятия решений о разработке, формировании, реализации муниципальных программ муниципального образования «Николаевское городское поселение» и проведения оценки эффективности их реализации» администрация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городского поселения </w:t>
      </w:r>
    </w:p>
    <w:p w:rsidR="00DA67B4" w:rsidRPr="00DA67B4" w:rsidRDefault="00DA67B4" w:rsidP="00DA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ПОСТАНОВЛЯЕТ:</w:t>
      </w:r>
      <w:bookmarkStart w:id="1" w:name="sub_1"/>
    </w:p>
    <w:p w:rsidR="00DA67B4" w:rsidRPr="00DA67B4" w:rsidRDefault="00DA67B4" w:rsidP="00DA67B4">
      <w:pPr>
        <w:tabs>
          <w:tab w:val="left" w:pos="709"/>
        </w:tabs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1.</w:t>
      </w:r>
      <w:bookmarkStart w:id="2" w:name="sub_3"/>
      <w:bookmarkEnd w:id="1"/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val="x-none" w:eastAsia="ru-RU"/>
        </w:rPr>
        <w:t>Внести в</w:t>
      </w:r>
      <w:r w:rsidRPr="00DA67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муниципальную программу </w:t>
      </w:r>
      <w:bookmarkEnd w:id="2"/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«Культура муниципального образования «Николаевское городское поселение» на 2017 – 2019 годы», утвержденную постановлением администрации Николаевского городского поселения Смидовичского муниципального района Еврейской автономной области от 02.05.2017 №280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(в редакции постановления администрации от 11.08.2017 №474, от 13.09.2017 №495,от 28.11.2017 №599, от 29.12.2017 №664, от 08.02.2018 №54, от 05.03.2018 №107, от 16.05.2018 №220, от 27.07.2018 №332, от 01.11.2018 №418, от 07.12.2018 №476, от 29.12.2018 №515, от 13.05.2019 №178),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следующие изменения: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</w:p>
    <w:p w:rsidR="00DA67B4" w:rsidRPr="00DA67B4" w:rsidRDefault="00DA67B4" w:rsidP="00DA67B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1.1 Т</w:t>
      </w:r>
      <w:proofErr w:type="spellStart"/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аблицу</w:t>
      </w:r>
      <w:proofErr w:type="spellEnd"/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4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раздела 7 «Ресурсное обеспечение программы»</w:t>
      </w: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 xml:space="preserve"> изложить в следующей редакции:</w:t>
      </w: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DA67B4" w:rsidRPr="00DA67B4" w:rsidRDefault="00DA67B4" w:rsidP="00DA67B4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Таблица 4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696"/>
        <w:gridCol w:w="1416"/>
        <w:gridCol w:w="1699"/>
        <w:gridCol w:w="1418"/>
      </w:tblGrid>
      <w:tr w:rsidR="00DA67B4" w:rsidRPr="00DA67B4" w:rsidTr="007C5EEA">
        <w:trPr>
          <w:trHeight w:val="444"/>
        </w:trPr>
        <w:tc>
          <w:tcPr>
            <w:tcW w:w="2552" w:type="dxa"/>
            <w:vMerge w:val="restart"/>
          </w:tcPr>
          <w:p w:rsidR="00DA67B4" w:rsidRPr="00DA67B4" w:rsidRDefault="00DA67B4" w:rsidP="00DA6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6" w:type="dxa"/>
            <w:vMerge w:val="restart"/>
          </w:tcPr>
          <w:p w:rsidR="00DA67B4" w:rsidRPr="00DA67B4" w:rsidRDefault="00DA67B4" w:rsidP="00DA67B4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33" w:type="dxa"/>
            <w:gridSpan w:val="3"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.р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ублей</w:t>
            </w:r>
            <w:proofErr w:type="spellEnd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DA67B4" w:rsidRPr="00DA67B4" w:rsidTr="007C5EEA">
        <w:trPr>
          <w:trHeight w:val="439"/>
        </w:trPr>
        <w:tc>
          <w:tcPr>
            <w:tcW w:w="2552" w:type="dxa"/>
            <w:vMerge/>
          </w:tcPr>
          <w:p w:rsidR="00DA67B4" w:rsidRPr="00DA67B4" w:rsidRDefault="00DA67B4" w:rsidP="00DA6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tabs>
                <w:tab w:val="left" w:pos="258"/>
                <w:tab w:val="center" w:pos="31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2019 год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  <w:t>2019 год</w:t>
            </w:r>
          </w:p>
        </w:tc>
      </w:tr>
      <w:tr w:rsidR="00DA67B4" w:rsidRPr="00DA67B4" w:rsidTr="007C5EEA">
        <w:tc>
          <w:tcPr>
            <w:tcW w:w="9781" w:type="dxa"/>
            <w:gridSpan w:val="5"/>
          </w:tcPr>
          <w:p w:rsidR="00DA67B4" w:rsidRPr="00DA67B4" w:rsidRDefault="00DA67B4" w:rsidP="00DA67B4">
            <w:pPr>
              <w:tabs>
                <w:tab w:val="left" w:pos="7146"/>
              </w:tabs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Муниципальная программа «Культура муниципального образования «Николаевское городское поселение» на 2017-2019 годы»</w:t>
            </w:r>
          </w:p>
        </w:tc>
      </w:tr>
      <w:tr w:rsidR="00DA67B4" w:rsidRPr="00DA67B4" w:rsidTr="007C5EEA">
        <w:trPr>
          <w:trHeight w:val="282"/>
        </w:trPr>
        <w:tc>
          <w:tcPr>
            <w:tcW w:w="2552" w:type="dxa"/>
          </w:tcPr>
          <w:p w:rsidR="00DA67B4" w:rsidRPr="00DA67B4" w:rsidRDefault="00DA67B4" w:rsidP="00DA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1: «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домов культуры»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08 01 04 0 01 00000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ind w:left="-252" w:firstLine="142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6495,444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7554,10296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tabs>
                <w:tab w:val="left" w:pos="1307"/>
              </w:tabs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6209,792</w:t>
            </w:r>
          </w:p>
          <w:p w:rsidR="00DA67B4" w:rsidRPr="00DA67B4" w:rsidRDefault="00DA67B4" w:rsidP="00DA67B4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домов культуры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08 01 04 0  01 00211 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5001,485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4162,369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4030,07</w:t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услуг) домов культуры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08 01 04 0  01 00291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1493,959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2185,914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2179,722</w:t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Дотация на повышение 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домов культуры</w:t>
            </w:r>
            <w:proofErr w:type="gramEnd"/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08 01 04 0  01 07090 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1205,81996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2: «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08 01 04 0 02 00000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1418,955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1795,96104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1694,878</w:t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библиотек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08 01 04 0 02 00212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1080,9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1175,132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1383,758</w:t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08 01 04 0 02 00292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338,055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205,249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311,12</w:t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Дотация на повышение оплаты труда работников библиотек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08 01 04 0  02 07090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415,58004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3: «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коллективов самодеятельного народного творчества»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08 01 04 0 03 00000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183,7</w:t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коллективов самодеятельного народного творчества»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08 01 04 0 03 00213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183,7</w:t>
            </w:r>
          </w:p>
        </w:tc>
      </w:tr>
      <w:tr w:rsidR="00DA67B4" w:rsidRPr="00DA67B4" w:rsidTr="007C5EEA">
        <w:tc>
          <w:tcPr>
            <w:tcW w:w="2552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9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25612,091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9489,901</w:t>
            </w:r>
          </w:p>
        </w:tc>
        <w:tc>
          <w:tcPr>
            <w:tcW w:w="1418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8088,37</w:t>
            </w:r>
          </w:p>
        </w:tc>
      </w:tr>
    </w:tbl>
    <w:p w:rsidR="00DA67B4" w:rsidRPr="00DA67B4" w:rsidRDefault="00DA67B4" w:rsidP="00DA67B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DA67B4" w:rsidRPr="00DA67B4" w:rsidRDefault="00DA67B4" w:rsidP="00DA67B4">
      <w:pPr>
        <w:tabs>
          <w:tab w:val="left" w:pos="709"/>
          <w:tab w:val="left" w:pos="851"/>
        </w:tabs>
        <w:spacing w:after="1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2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.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Опубликовать  настоящее  постановление  в  информационном бюллетене «Исток» и официальном сайте администрации Николаевского городского поселения.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>3.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Настоящее постановление вступает в силу после дня его официального опубликования.</w:t>
      </w:r>
    </w:p>
    <w:p w:rsidR="00DA67B4" w:rsidRPr="00DA67B4" w:rsidRDefault="00DA67B4" w:rsidP="00DA6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 городского поселения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И.В. Марданов</w:t>
      </w: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6096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Готовил:</w:t>
      </w:r>
    </w:p>
    <w:p w:rsidR="00DA67B4" w:rsidRPr="00DA67B4" w:rsidRDefault="00DA67B4" w:rsidP="00DA67B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МКУ «Центр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ультуры и досуга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С.В.Пампурова</w:t>
      </w:r>
      <w:proofErr w:type="spellEnd"/>
    </w:p>
    <w:p w:rsidR="00DA67B4" w:rsidRPr="00DA67B4" w:rsidRDefault="00DA67B4" w:rsidP="00DA67B4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A67B4" w:rsidRPr="00DA67B4" w:rsidSect="00C6585E">
          <w:headerReference w:type="default" r:id="rId11"/>
          <w:pgSz w:w="11906" w:h="16838"/>
          <w:pgMar w:top="851" w:right="567" w:bottom="142" w:left="1701" w:header="709" w:footer="709" w:gutter="0"/>
          <w:cols w:space="708"/>
          <w:titlePg/>
          <w:docGrid w:linePitch="360"/>
        </w:sectPr>
      </w:pPr>
    </w:p>
    <w:p w:rsidR="00DA67B4" w:rsidRPr="00DA67B4" w:rsidRDefault="00DA67B4" w:rsidP="00DA67B4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DA67B4" w:rsidRPr="00DA67B4" w:rsidRDefault="00DA67B4" w:rsidP="00DA67B4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DA67B4" w:rsidRPr="00DA67B4" w:rsidRDefault="00DA67B4" w:rsidP="00DA67B4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от 02.05.2017  № 280</w:t>
      </w:r>
    </w:p>
    <w:p w:rsidR="00DA67B4" w:rsidRPr="00DA67B4" w:rsidRDefault="00DA67B4" w:rsidP="00DA67B4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от </w:t>
      </w:r>
      <w:smartTag w:uri="urn:schemas-microsoft-com:office:smarttags" w:element="date">
        <w:smartTagPr>
          <w:attr w:name="ls" w:val="trans"/>
          <w:attr w:name="Month" w:val="08"/>
          <w:attr w:name="Day" w:val="11"/>
          <w:attr w:name="Year" w:val="2017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11.08.2017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474, от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2017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13.09.2017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№495, от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17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28.11.2017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№599,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7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29.12.2017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№664, от </w:t>
      </w:r>
      <w:smartTag w:uri="urn:schemas-microsoft-com:office:smarttags" w:element="date">
        <w:smartTagPr>
          <w:attr w:name="ls" w:val="trans"/>
          <w:attr w:name="Month" w:val="2"/>
          <w:attr w:name="Day" w:val="08"/>
          <w:attr w:name="Year" w:val="2018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08.02.2018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№54,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18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05.03.2018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№107, от </w:t>
      </w:r>
      <w:smartTag w:uri="urn:schemas-microsoft-com:office:smarttags" w:element="date">
        <w:smartTagPr>
          <w:attr w:name="ls" w:val="trans"/>
          <w:attr w:name="Month" w:val="05"/>
          <w:attr w:name="Day" w:val="16"/>
          <w:attr w:name="Year" w:val="2018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16.05.2018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№220,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8"/>
        </w:smartTagPr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27.07.2018</w:t>
        </w:r>
      </w:smartTag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№332, от 01.11.2018 №418, от 07.12.2018 №476,от 29.12.2018 №515,от 13.05.2019 №178)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программа 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«Культура муниципального образования «Николаевское городское поселение» на 2017-2019 годы»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67B4" w:rsidRPr="00DA67B4" w:rsidRDefault="00DA67B4" w:rsidP="00DA67B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>Паспорт муниципальной программы «Культура муниципального образования «Николаевское городское поселение» на 2017 – 2019 годы»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муниципального образования «Николаевское городское поселение» на 2017-2019 годы (далее Программа)</w:t>
            </w: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разработки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Статья 179 Бюджетного кодекса Российской Федерации;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Устав муниципального образования «Николаевское городское поселение»; 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Постановление администрации городского поселения от 25.02.2014 № 16 «Об утверждении порядка принятия решений о разработке, формировании, реализации муниципальных программ муниципального образования «Николаевское городское поселение» и проведения оценки эффективности их реализации» </w:t>
            </w: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Николаевского городского поселения Смидовичского муниципального района Еврейской автономной области (далее - администрация Николаевского городского поселения)</w:t>
            </w: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Николаевского городского поселения</w:t>
            </w: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Сохранение и развитие культурного и исторического наследия народа, укрепление материальной базы учреждений культуры, развитие и пропаганда самодеятельного народного творчества, организация досуга населения.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стратегической роли культуры как духовно-нравственного развития личности, ф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ормирование единого культурного и информационного пространства. Создание условий для равного доступа граждан к культурным ценностям, информационным ресурсам, библиотечного обслуживания населения, а также к участию в культурной жизни</w:t>
            </w: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4" w:rsidRPr="00DA67B4" w:rsidRDefault="00DA67B4" w:rsidP="00DA67B4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      </w:r>
          </w:p>
          <w:p w:rsidR="00DA67B4" w:rsidRPr="00DA67B4" w:rsidRDefault="00DA67B4" w:rsidP="00DA67B4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 повышение профессионализма и качества концертных выступлений среди коллективов самодеятельного народного творчества, отдельных исполнителей;</w:t>
            </w:r>
          </w:p>
          <w:p w:rsidR="00DA67B4" w:rsidRPr="00DA67B4" w:rsidRDefault="00DA67B4" w:rsidP="00DA67B4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 создание благоприятных условий для организации культурного досуга и отдыха жителей муниципального образования, увеличение количества мероприятий, проводимых в учреждениях культурно-досугового типа;</w:t>
            </w:r>
          </w:p>
          <w:p w:rsidR="00DA67B4" w:rsidRPr="00DA67B4" w:rsidRDefault="00DA67B4" w:rsidP="00DA67B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      </w:r>
          </w:p>
          <w:p w:rsidR="00DA67B4" w:rsidRPr="00DA67B4" w:rsidRDefault="00DA67B4" w:rsidP="00DA67B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- развитие современных форм организации культурного досуга с учетом потребностей различных социально - возрастных групп населения; </w:t>
            </w:r>
          </w:p>
          <w:p w:rsidR="00DA67B4" w:rsidRPr="00DA67B4" w:rsidRDefault="00DA67B4" w:rsidP="00DA67B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улучшение качества библиотечного обслуживания населения городского поселения;</w:t>
            </w:r>
          </w:p>
          <w:p w:rsidR="00DA67B4" w:rsidRPr="00DA67B4" w:rsidRDefault="00DA67B4" w:rsidP="00DA67B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патриотическое воспитание населения через проведение мероприятий;</w:t>
            </w:r>
          </w:p>
          <w:p w:rsidR="00DA67B4" w:rsidRPr="00DA67B4" w:rsidRDefault="00DA67B4" w:rsidP="00DA67B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повышение и поддержание профессионального уровня работников культуры</w:t>
            </w:r>
          </w:p>
          <w:p w:rsidR="00DA67B4" w:rsidRPr="00DA67B4" w:rsidRDefault="00DA67B4" w:rsidP="00DA67B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7B4" w:rsidRPr="00DA67B4" w:rsidTr="007C5EEA">
        <w:trPr>
          <w:trHeight w:val="545"/>
        </w:trPr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4" w:rsidRPr="00DA67B4" w:rsidRDefault="00DA67B4" w:rsidP="00DA67B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реализуется с 2017 по 2019 годы</w:t>
            </w:r>
          </w:p>
          <w:p w:rsidR="00DA67B4" w:rsidRPr="00DA67B4" w:rsidRDefault="00DA67B4" w:rsidP="00DA67B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«Центр культуры и досуга» администрации муниципального образования «Николаевское городское поселение» Смидовичского муниципального района Еврейской автономной области</w:t>
            </w: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финансирования 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Общий объём финансирования Программы составляет: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 год –8033,820 тыс. рублей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7868,501 тыс. рублей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8088,37 тыс. рублей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Николаевского городского поселения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финансирования за счет средств областного бюджета составляет: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- 1621,4 тыс. рублей</w:t>
            </w: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Ожидаемые 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реализации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единого культурного  пространства;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сохранение и развитие культуры Николаевского  городского поселения;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удовлетворенность населения качеством предоставления муниципальных услуг в сфере культуры поселения; 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числа занимающихся в клубных формированиях и любительских объединениях;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укрепление материально-технической базы и создание условий для безопасного пребывания посетителей в муниципальных учреждениях  культуры;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оптимизация работы муниципальных учреждений культуры  для удовлетворения потребностей населения;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сохранение культурного потенциала отрасли за счет обеспечения непрерывного процесса переподготовки кадров и повышения их квалификации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7B4" w:rsidRPr="00DA67B4" w:rsidTr="007C5EEA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организации 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 за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7B4" w:rsidRPr="00DA67B4" w:rsidRDefault="00DA67B4" w:rsidP="00DA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реализацией Программы осуществляет заказчик программы администрация Николаевского городского поселения.</w:t>
            </w:r>
          </w:p>
          <w:p w:rsidR="00DA67B4" w:rsidRPr="00DA67B4" w:rsidRDefault="00DA67B4" w:rsidP="00DA67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Организует ведение отчетности по реализации мероприятий программы и  формирует отчётные данные. </w:t>
            </w:r>
          </w:p>
        </w:tc>
      </w:tr>
    </w:tbl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Общая характеристика сферы реализации муниципальной программы, в том числе основных проблем и прогноз ее развития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Учреждения культуры являются самыми доступными для жителей поселения, где они могут раскрыть свой художественный потенциал, реализовать себя, как творческая личность, провести интересно с пользой свой досуг. Дом культуры, это единственное место в поселении, где могут встретиться и пообщаться люди разного возраста. </w:t>
      </w:r>
    </w:p>
    <w:p w:rsidR="00DA67B4" w:rsidRPr="00DA67B4" w:rsidRDefault="00DA67B4" w:rsidP="00DA67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Очень много задумок, идей, которые без новых технологий воплотить в жизнь просто невозможно. 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проблемой остается недостаточное количество средств местного бюджета. Администрация Николаевского городского поселения одним из выходов из положения считает привлечение федеральных, областных средств на условиях 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финансирования. Сеть учреждений культуры, расположенных на территории Николаевского городского поселения составляют: 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Муниципальное учреждение культуры - 2. 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2.Информационное библиотечное подразделение муниципальных  казенных учреждений  культуры  поселенческих домов культуры пос. Николаевка, с. Ключевое-2. 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муниципальной собственности Николаевского городского поселения имеются памятники -1, обелиск - 2.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в Николаевском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городскомпоселении</w:t>
      </w:r>
      <w:proofErr w:type="spell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имеется ряд проблем, влияющих на развитие культуры, требующих неотложного решения, в том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:н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едостаточное</w:t>
      </w:r>
      <w:proofErr w:type="spell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финансирование для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приобретения:звуковой</w:t>
      </w:r>
      <w:proofErr w:type="spell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аппаратурысветового</w:t>
      </w:r>
      <w:proofErr w:type="spell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оборудования,  костюмов для проведения мероприятий,  системы видеонаблюдения, замена пожарной сигнализации, текущий ремонт в зданиях муниципальных учреждений.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Николаевского городского поселения.</w:t>
      </w:r>
    </w:p>
    <w:p w:rsidR="00DA67B4" w:rsidRPr="00DA67B4" w:rsidRDefault="00DA67B4" w:rsidP="00DA67B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Цели, задачи, и показатели их достижения</w:t>
      </w:r>
    </w:p>
    <w:p w:rsidR="00DA67B4" w:rsidRPr="00DA67B4" w:rsidRDefault="00DA67B4" w:rsidP="00DA67B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3.1 Цели и задачи программы</w:t>
      </w:r>
    </w:p>
    <w:p w:rsidR="00DA67B4" w:rsidRPr="00DA67B4" w:rsidRDefault="00DA67B4" w:rsidP="00DA67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1.Приоритеты программы: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условий по привлечению населения для участия в культурно-массовых мероприятиях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условий по привлечению населения в работе клубных формирований и любительских объединениях</w:t>
      </w:r>
    </w:p>
    <w:p w:rsidR="00DA67B4" w:rsidRPr="00DA67B4" w:rsidRDefault="00DA67B4" w:rsidP="00DA67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center" w:pos="4677"/>
          <w:tab w:val="left" w:pos="673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2.Цели программы: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- Сохранение и развитие культурного и исторического наследия народа; 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-укрепление материальной базы учреждений культуры;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 развитие и пропаганда самодеятельного народного творчества;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-организация досуга населения; 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-реализация стратегической роли культуры как духовно--нравственного развития личности;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Pr="00DA67B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ормирование единого культурного и информационного пространства;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-создание условий для поддержки перспективных направлений развития культуры.</w:t>
      </w:r>
    </w:p>
    <w:p w:rsidR="00DA67B4" w:rsidRPr="00DA67B4" w:rsidRDefault="00DA67B4" w:rsidP="00DA6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программы:</w:t>
      </w:r>
    </w:p>
    <w:p w:rsidR="00DA67B4" w:rsidRPr="00DA67B4" w:rsidRDefault="00DA67B4" w:rsidP="00DA67B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благоприятных условий для организации культурного досуга и отдыха жителей муниципального образования;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-развитие современных форм организации культурного досуга с учетом потребностей различных социально - возрастных групп населения; организация библиотечного обслуживания населения поселения;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4. Перечень показателей (индикаторов) муниципальной программы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показателей (индикаторов) муниципальной программы увязан с основными мероприятиями и позволяет оценить ожидаемые результаты и эффективность ее реализации. 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достижения цели муниципальной программы производится посредствам следующих показателей (индикаторов):</w:t>
      </w:r>
    </w:p>
    <w:p w:rsidR="00DA67B4" w:rsidRPr="00DA67B4" w:rsidRDefault="00DA67B4" w:rsidP="00DA67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Количество посетителей культурно-досуговых мероприятий (человек).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Посещаемость учреждений культуры (библиотек, музеев, театрально-концертных организаций, учреждений культурно-досугового типа) является одним из целевых ориентиров развития сферы культуры, установленных в </w:t>
      </w:r>
      <w:hyperlink r:id="rId12" w:history="1"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Концепции</w:t>
        </w:r>
      </w:hyperlink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долгосрочного социально-экономического развития Российской Федерации на период до 2019 года, утвержденной Распоряжением Правительства Российской Федерации от 17.11.2008 № 1662-р. 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Данный индикатор отражает востребованность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посетителей, по отношению к предыдущему году.</w:t>
      </w:r>
    </w:p>
    <w:p w:rsidR="00DA67B4" w:rsidRPr="00DA67B4" w:rsidRDefault="00DA67B4" w:rsidP="00DA67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2. К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пользователей филиалов библиотек (человек).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пользователей библиотек, по отношению к предыдущему году.</w:t>
      </w:r>
    </w:p>
    <w:p w:rsidR="00DA67B4" w:rsidRPr="00DA67B4" w:rsidRDefault="00DA67B4" w:rsidP="00DA67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Количество книговыдач из фондов библиотеки (экземпляров).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книговыдач экземпляров, по отношению к предыдущему году.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Количество клубных формирований.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клубных формирований, по отношению к предыдущему году.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Количество зданий (помещений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)у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чреждений культуры Николаевского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городскогопоселения</w:t>
      </w:r>
      <w:proofErr w:type="spell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отношении которых проведен капитальный ремонт.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зданий (помещений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)у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чреждений культуры, в отношении которых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проведенкапитальный</w:t>
      </w:r>
      <w:proofErr w:type="spell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ремонт</w:t>
      </w:r>
      <w:r w:rsidRPr="00DA67B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, к общему количеству объектов культурного наследия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Николаевского городского </w:t>
      </w:r>
      <w:r w:rsidRPr="00DA67B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поселения.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Количество участников клубных формирований (человек).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Индикатор рассчитан исходя из количества человек принимающих участие </w:t>
      </w:r>
      <w:proofErr w:type="spell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вклубных</w:t>
      </w:r>
      <w:proofErr w:type="spell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формирований, по отношению к предыдущему году.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Количество проведенных информационных, культурно-массовых мероприятий.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Индикатор рассчитан исходя из количества проведенных информационных, культурно-массовых мероприятий, по отношению к предыдущему году.</w:t>
      </w:r>
    </w:p>
    <w:p w:rsidR="00DA67B4" w:rsidRPr="00DA67B4" w:rsidRDefault="00DA67B4" w:rsidP="00DA67B4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Значения </w:t>
      </w:r>
      <w:hyperlink r:id="rId13" w:anchor="Par223" w:history="1">
        <w:r w:rsidRPr="00DA67B4">
          <w:rPr>
            <w:rFonts w:ascii="Times New Roman" w:eastAsia="Calibri" w:hAnsi="Times New Roman" w:cs="Times New Roman"/>
            <w:sz w:val="20"/>
            <w:szCs w:val="20"/>
            <w:lang w:val="x-none" w:eastAsia="ru-RU"/>
          </w:rPr>
          <w:t>показателей</w:t>
        </w:r>
      </w:hyperlink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(индикаторов) муниципальной программы ее реализации приведены в таблице 1.</w:t>
      </w:r>
      <w:bookmarkStart w:id="3" w:name="Par221"/>
      <w:bookmarkEnd w:id="3"/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DA67B4" w:rsidRPr="00DA67B4" w:rsidRDefault="00DA67B4" w:rsidP="00DA67B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5175" w:type="pct"/>
        <w:jc w:val="center"/>
        <w:tblInd w:w="-578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56"/>
        <w:gridCol w:w="3149"/>
        <w:gridCol w:w="1306"/>
        <w:gridCol w:w="881"/>
        <w:gridCol w:w="909"/>
        <w:gridCol w:w="911"/>
        <w:gridCol w:w="836"/>
        <w:gridCol w:w="1190"/>
      </w:tblGrid>
      <w:tr w:rsidR="00DA67B4" w:rsidRPr="00DA67B4" w:rsidTr="007C5EEA">
        <w:trPr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N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/п 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показателя 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(индикатора)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Единица 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измерения 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Значение показателя (индикатора) по годам </w:t>
            </w:r>
          </w:p>
        </w:tc>
      </w:tr>
      <w:tr w:rsidR="00DA67B4" w:rsidRPr="00DA67B4" w:rsidTr="007C5EEA">
        <w:trPr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Оценка 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Плановый период (прогноз)</w:t>
            </w:r>
          </w:p>
        </w:tc>
      </w:tr>
      <w:tr w:rsidR="00DA67B4" w:rsidRPr="00DA67B4" w:rsidTr="007C5EEA">
        <w:trPr>
          <w:trHeight w:val="382"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2017 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2018 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2019</w:t>
            </w:r>
          </w:p>
        </w:tc>
      </w:tr>
      <w:tr w:rsidR="00DA67B4" w:rsidRPr="00DA67B4" w:rsidTr="007C5EEA">
        <w:trPr>
          <w:trHeight w:val="832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культурно-досуговых мероприятий.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16946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15785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15589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16845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16850</w:t>
            </w:r>
          </w:p>
        </w:tc>
      </w:tr>
      <w:tr w:rsidR="00DA67B4" w:rsidRPr="00DA67B4" w:rsidTr="007C5EEA">
        <w:trPr>
          <w:trHeight w:val="492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2 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количество пользователей филиалов библиотек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1586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1650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16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0</w:t>
            </w:r>
          </w:p>
        </w:tc>
      </w:tr>
      <w:tr w:rsidR="00DA67B4" w:rsidRPr="00DA67B4" w:rsidTr="007C5EEA">
        <w:trPr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книговыдач из фондов библиотеки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экземпляр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32321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32865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328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050 </w:t>
            </w:r>
          </w:p>
        </w:tc>
      </w:tr>
      <w:tr w:rsidR="00DA67B4" w:rsidRPr="00DA67B4" w:rsidTr="007C5EEA">
        <w:trPr>
          <w:trHeight w:val="531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 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</w:t>
            </w:r>
          </w:p>
        </w:tc>
      </w:tr>
      <w:tr w:rsidR="00DA67B4" w:rsidRPr="00DA67B4" w:rsidTr="007C5EEA">
        <w:trPr>
          <w:trHeight w:val="1333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0 </w:t>
            </w:r>
          </w:p>
        </w:tc>
      </w:tr>
      <w:tr w:rsidR="00DA67B4" w:rsidRPr="00DA67B4" w:rsidTr="007C5EEA">
        <w:trPr>
          <w:trHeight w:val="607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580</w:t>
            </w:r>
          </w:p>
        </w:tc>
      </w:tr>
      <w:tr w:rsidR="00DA67B4" w:rsidRPr="00DA67B4" w:rsidTr="007C5EEA">
        <w:trPr>
          <w:trHeight w:val="856"/>
          <w:jc w:val="center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информационных, культурно-массовых мероприятий.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330</w:t>
            </w:r>
          </w:p>
        </w:tc>
      </w:tr>
    </w:tbl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67B4" w:rsidRPr="00DA67B4" w:rsidRDefault="00DA67B4" w:rsidP="00DA67B4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и  этапы реализации  муниципальной  программы</w:t>
      </w:r>
    </w:p>
    <w:p w:rsidR="00DA67B4" w:rsidRPr="00DA67B4" w:rsidRDefault="00DA67B4" w:rsidP="00DA67B4">
      <w:pPr>
        <w:spacing w:after="14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Таблица 2. Этапы и сроки реализации программных мероприятий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994"/>
        <w:gridCol w:w="1592"/>
        <w:gridCol w:w="6309"/>
      </w:tblGrid>
      <w:tr w:rsidR="00DA67B4" w:rsidRPr="00DA67B4" w:rsidTr="007C5EEA">
        <w:trPr>
          <w:trHeight w:val="182"/>
        </w:trPr>
        <w:tc>
          <w:tcPr>
            <w:tcW w:w="603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4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1592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6309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A67B4" w:rsidRPr="00DA67B4" w:rsidTr="007C5EEA">
        <w:trPr>
          <w:trHeight w:val="1120"/>
        </w:trPr>
        <w:tc>
          <w:tcPr>
            <w:tcW w:w="603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этап</w:t>
            </w:r>
          </w:p>
        </w:tc>
        <w:tc>
          <w:tcPr>
            <w:tcW w:w="1592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309" w:type="dxa"/>
          </w:tcPr>
          <w:p w:rsidR="00DA67B4" w:rsidRPr="00DA67B4" w:rsidRDefault="00DA67B4" w:rsidP="00DA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уровня удовлетворенности граждан Николаевского городского поселения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муниципальных услуг в сфере культуры 100%</w:t>
            </w:r>
          </w:p>
        </w:tc>
      </w:tr>
      <w:tr w:rsidR="00DA67B4" w:rsidRPr="00DA67B4" w:rsidTr="007C5EEA">
        <w:trPr>
          <w:trHeight w:val="182"/>
        </w:trPr>
        <w:tc>
          <w:tcPr>
            <w:tcW w:w="603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этап</w:t>
            </w:r>
          </w:p>
        </w:tc>
        <w:tc>
          <w:tcPr>
            <w:tcW w:w="1592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309" w:type="dxa"/>
          </w:tcPr>
          <w:p w:rsidR="00DA67B4" w:rsidRPr="00DA67B4" w:rsidRDefault="00DA67B4" w:rsidP="00DA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выполнения уровня удовлетворенности граждан Николаевского </w:t>
            </w:r>
            <w:proofErr w:type="spell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городскогопоселения</w:t>
            </w:r>
            <w:proofErr w:type="spell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муниципальных услуг в сфере культуры 100%</w:t>
            </w:r>
          </w:p>
        </w:tc>
      </w:tr>
      <w:tr w:rsidR="00DA67B4" w:rsidRPr="00DA67B4" w:rsidTr="007C5EEA">
        <w:trPr>
          <w:trHeight w:val="1143"/>
        </w:trPr>
        <w:tc>
          <w:tcPr>
            <w:tcW w:w="603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этап</w:t>
            </w:r>
          </w:p>
        </w:tc>
        <w:tc>
          <w:tcPr>
            <w:tcW w:w="1592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309" w:type="dxa"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выполнения уровня удовлетворенности граждан Николаевского </w:t>
            </w:r>
            <w:proofErr w:type="spell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городскогопоселения</w:t>
            </w:r>
            <w:proofErr w:type="spell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муниципальных услуг в сфере культуры 100%</w:t>
            </w:r>
          </w:p>
        </w:tc>
      </w:tr>
    </w:tbl>
    <w:p w:rsidR="00DA67B4" w:rsidRPr="00DA67B4" w:rsidRDefault="00DA67B4" w:rsidP="00DA67B4">
      <w:pPr>
        <w:spacing w:after="140" w:line="240" w:lineRule="auto"/>
        <w:ind w:left="1080" w:right="-426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A67B4" w:rsidRPr="00DA67B4" w:rsidRDefault="00DA67B4" w:rsidP="00DA67B4">
      <w:pPr>
        <w:numPr>
          <w:ilvl w:val="0"/>
          <w:numId w:val="11"/>
        </w:numPr>
        <w:spacing w:after="140" w:line="240" w:lineRule="auto"/>
        <w:ind w:right="-426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>Система программных мероприятий</w:t>
      </w:r>
    </w:p>
    <w:p w:rsidR="00DA67B4" w:rsidRPr="00DA67B4" w:rsidRDefault="00DA67B4" w:rsidP="00DA67B4">
      <w:pPr>
        <w:spacing w:after="140" w:line="240" w:lineRule="auto"/>
        <w:ind w:left="1080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Таблица 3</w:t>
      </w:r>
    </w:p>
    <w:tbl>
      <w:tblPr>
        <w:tblpPr w:leftFromText="180" w:rightFromText="180" w:vertAnchor="text" w:horzAnchor="margin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1417"/>
        <w:gridCol w:w="2127"/>
        <w:gridCol w:w="1842"/>
      </w:tblGrid>
      <w:tr w:rsidR="00DA67B4" w:rsidRPr="00DA67B4" w:rsidTr="007C5EE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</w:t>
            </w:r>
          </w:p>
        </w:tc>
      </w:tr>
      <w:tr w:rsidR="00DA67B4" w:rsidRPr="00DA67B4" w:rsidTr="007C5EEA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выплату персоналу в целях обеспечения выполнения функций казенными учреждениями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«Центр культуры и досуга» администрации МО «Николаевское городское поселение»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обеспеченности населения поселения организациями культуры; деятельность управленческой структуры, обеспечивающей эффективную реализацию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удовлетворенности работников сферы культуры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трудом</w:t>
            </w:r>
          </w:p>
        </w:tc>
      </w:tr>
      <w:tr w:rsidR="00DA67B4" w:rsidRPr="00DA67B4" w:rsidTr="007C5EEA">
        <w:trPr>
          <w:trHeight w:val="2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расходов на оплату коммунальных услуг, на подготовку системы отопления к отопительному периоду в здании МКУ « Центр культуры и досуга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культуры и досуга» администрации МО «Николаевское городское поселение» библиотеки-филиалы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нормальное функционирование зданий</w:t>
            </w:r>
          </w:p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состояния инфраструктуры учреждений культурно-досугового типа</w:t>
            </w:r>
          </w:p>
        </w:tc>
      </w:tr>
      <w:tr w:rsidR="00DA67B4" w:rsidRPr="00DA67B4" w:rsidTr="007C5EEA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деятельности учреждений по организации досуга, культуры и библиотечного обслуживания в том числе:</w:t>
            </w:r>
          </w:p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по договорам услуг отоплений зданий;</w:t>
            </w:r>
          </w:p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связи, транспортные услуги;</w:t>
            </w:r>
          </w:p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материалов для текущего ремонта зданий;</w:t>
            </w:r>
          </w:p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командировочные расходы, учеба;</w:t>
            </w:r>
          </w:p>
          <w:p w:rsidR="00DA67B4" w:rsidRPr="00DA67B4" w:rsidRDefault="00DA67B4" w:rsidP="00DA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по договорам предоставления услуг и выполнения работ, налоги.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DA67B4" w:rsidRPr="00DA67B4" w:rsidRDefault="00DA67B4" w:rsidP="00DA67B4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DA67B4" w:rsidRPr="00DA67B4" w:rsidRDefault="00DA67B4" w:rsidP="00DA67B4">
            <w:pPr>
              <w:spacing w:after="140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культуры и досуга» администрации МО «Николаевское городское поселение» библиотеки-филиалы</w:t>
            </w:r>
          </w:p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B4" w:rsidRPr="00DA67B4" w:rsidRDefault="00DA67B4" w:rsidP="00DA67B4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посетителей учреждений культурно-досугового типа</w:t>
            </w:r>
          </w:p>
        </w:tc>
      </w:tr>
    </w:tbl>
    <w:p w:rsidR="00DA67B4" w:rsidRPr="00DA67B4" w:rsidRDefault="00DA67B4" w:rsidP="00DA67B4">
      <w:pPr>
        <w:spacing w:after="14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p w:rsidR="00DA67B4" w:rsidRPr="00DA67B4" w:rsidRDefault="00DA67B4" w:rsidP="00DA67B4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Механизм реализации Программы</w:t>
      </w:r>
    </w:p>
    <w:p w:rsidR="00DA67B4" w:rsidRPr="00DA67B4" w:rsidRDefault="00DA67B4" w:rsidP="00DA6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ответственным исполнителем муниципальной программы и участниками муниципальной  программы.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представляет ежеквартальные, ежегодные и итоговые отчеты о реализации программы;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запрашивает у участника муниципальной программы сведения, необходимые для отчетов.</w:t>
      </w:r>
    </w:p>
    <w:p w:rsidR="00DA67B4" w:rsidRPr="00DA67B4" w:rsidRDefault="00DA67B4" w:rsidP="00DA6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муниципальной программы:</w:t>
      </w:r>
    </w:p>
    <w:p w:rsidR="00DA67B4" w:rsidRPr="00DA67B4" w:rsidRDefault="00DA67B4" w:rsidP="00DA6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обеспечивает разработку и реализацию мероприятий муниципальной программы в рамках своей компетенции;</w:t>
      </w:r>
    </w:p>
    <w:p w:rsidR="00DA67B4" w:rsidRPr="00DA67B4" w:rsidRDefault="00DA67B4" w:rsidP="00DA6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представляют в установленный срок ответственному исполнителю информацию о ходе реализации мероприятий муниципальной программ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ы(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ведомственной целевой программы), в реализации которых принимали участие;</w:t>
      </w:r>
    </w:p>
    <w:p w:rsidR="00DA67B4" w:rsidRPr="00DA67B4" w:rsidRDefault="00DA67B4" w:rsidP="00DA6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DA67B4" w:rsidRPr="00DA67B4" w:rsidRDefault="00DA67B4" w:rsidP="00DA6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несет ответственность за достижение целевых показателей муниципальной программы, в реализации которой принимали участие.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оответствии с действующим законодательством. В соответствии с предусмотренными муниципальной программой объемами финансирования. 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муниципальной программы предусматривается выполнение муниципальных заданий учреждениями культуры следующих муниципальных услуг: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-библиотечное, библиографическое обслуживание и информационное обслуживание пользователей библиотеки;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организация деятельности клубных формирований и формирований самодеятельного народного творчества.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Ведомственный перечень муниципальных услуг (работ), оказываемых (выполняемых) муниципальными учреждениями  культуры Николаевского городского поселения утверждается 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постановлением администрации городского поселения.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7.Ресурсное обеспечение  программы.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Финансовой основой реализации программы являются средства бюджета муниципального образования «Николаевское </w:t>
      </w:r>
      <w:proofErr w:type="spellStart"/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городскоепоселение</w:t>
      </w:r>
      <w:proofErr w:type="spellEnd"/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» Смидовичского  муниципального района Еврейской автономной области.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Возможность привлечения  дополнительных средств для финансирования программы учитываются как прогноз со финансирования на основе соглашений (договоров) между участниками финансового обеспечения программы.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Объемы финансирования программы ежегодно уточняются при формировании бюджета Николаевского </w:t>
      </w:r>
      <w:proofErr w:type="spellStart"/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городскогопоселения</w:t>
      </w:r>
      <w:proofErr w:type="spellEnd"/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программу.</w:t>
      </w:r>
    </w:p>
    <w:p w:rsidR="00DA67B4" w:rsidRPr="00DA67B4" w:rsidRDefault="00DA67B4" w:rsidP="00DA67B4">
      <w:pPr>
        <w:shd w:val="clear" w:color="auto" w:fill="FFFFFF"/>
        <w:spacing w:before="30" w:after="30" w:line="240" w:lineRule="auto"/>
        <w:ind w:firstLine="709"/>
        <w:contextualSpacing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Ресурсное обеспечение муниципальной программы за счет средств местного бюджета:</w:t>
      </w:r>
    </w:p>
    <w:p w:rsidR="00DA67B4" w:rsidRPr="00DA67B4" w:rsidRDefault="00DA67B4" w:rsidP="00DA67B4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Таблица 4</w:t>
      </w:r>
    </w:p>
    <w:tbl>
      <w:tblPr>
        <w:tblW w:w="99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410"/>
        <w:gridCol w:w="1416"/>
        <w:gridCol w:w="1699"/>
        <w:gridCol w:w="1275"/>
      </w:tblGrid>
      <w:tr w:rsidR="00DA67B4" w:rsidRPr="00DA67B4" w:rsidTr="007C5EEA">
        <w:trPr>
          <w:trHeight w:val="444"/>
        </w:trPr>
        <w:tc>
          <w:tcPr>
            <w:tcW w:w="3119" w:type="dxa"/>
            <w:vMerge w:val="restart"/>
          </w:tcPr>
          <w:p w:rsidR="00DA67B4" w:rsidRPr="00DA67B4" w:rsidRDefault="00DA67B4" w:rsidP="00DA6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DA67B4" w:rsidRPr="00DA67B4" w:rsidRDefault="00DA67B4" w:rsidP="00DA67B4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0" w:type="dxa"/>
            <w:gridSpan w:val="3"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.р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ублей</w:t>
            </w:r>
            <w:proofErr w:type="spellEnd"/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DA67B4" w:rsidRPr="00DA67B4" w:rsidTr="007C5EEA">
        <w:trPr>
          <w:trHeight w:val="439"/>
        </w:trPr>
        <w:tc>
          <w:tcPr>
            <w:tcW w:w="3119" w:type="dxa"/>
            <w:vMerge/>
          </w:tcPr>
          <w:p w:rsidR="00DA67B4" w:rsidRPr="00DA67B4" w:rsidRDefault="00DA67B4" w:rsidP="00DA6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tabs>
                <w:tab w:val="left" w:pos="258"/>
                <w:tab w:val="center" w:pos="31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2019 год</w:t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</w: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ab/>
              <w:t>2019 год</w:t>
            </w:r>
          </w:p>
        </w:tc>
      </w:tr>
      <w:tr w:rsidR="00DA67B4" w:rsidRPr="00DA67B4" w:rsidTr="007C5EEA">
        <w:tc>
          <w:tcPr>
            <w:tcW w:w="9919" w:type="dxa"/>
            <w:gridSpan w:val="5"/>
          </w:tcPr>
          <w:p w:rsidR="00DA67B4" w:rsidRPr="00DA67B4" w:rsidRDefault="00DA67B4" w:rsidP="00DA67B4">
            <w:pPr>
              <w:tabs>
                <w:tab w:val="left" w:pos="7146"/>
              </w:tabs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Муниципальная программа «Культура муниципального образования «Николаевское городское поселение» на 2017-2019 годы»</w:t>
            </w:r>
          </w:p>
        </w:tc>
      </w:tr>
      <w:tr w:rsidR="00DA67B4" w:rsidRPr="00DA67B4" w:rsidTr="007C5EEA">
        <w:trPr>
          <w:trHeight w:val="282"/>
        </w:trPr>
        <w:tc>
          <w:tcPr>
            <w:tcW w:w="3119" w:type="dxa"/>
          </w:tcPr>
          <w:p w:rsidR="00DA67B4" w:rsidRPr="00DA67B4" w:rsidRDefault="00DA67B4" w:rsidP="00DA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1: «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домов культуры»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08 01 04 0 01 00000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ind w:left="-25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6495,444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7554,10296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tabs>
                <w:tab w:val="left" w:pos="1307"/>
              </w:tabs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6209,792</w:t>
            </w:r>
          </w:p>
          <w:p w:rsidR="00DA67B4" w:rsidRPr="00DA67B4" w:rsidRDefault="00DA67B4" w:rsidP="00DA67B4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домов культуры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08 01 04 0  01 00211 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5001,485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4162,369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4030,07</w:t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08 01 04 0  01 00291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1493,959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2185,914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2179,722</w:t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на повышение 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работников домов культуры</w:t>
            </w:r>
            <w:proofErr w:type="gramEnd"/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08 01 04 0  01 07090 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1205,81996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2: «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08 01 04 0 02 00000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1418,955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1795,96104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1694,878</w:t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библиотек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08 01 04 0 02 00212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1080,9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1175,132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1383,758</w:t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08 01 04 0 02 00292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338,055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205,249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311,12</w:t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Дотация на повышение оплаты труда работников библиотек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08 01 04 0  02 07090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415,58004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Основное мероприятие 3: «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коллективов самодеятельного народного творчества»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08 01 04 0 03 00000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183,7</w:t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по оплате труда работников коллективов самодеятельного народного творчества»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08 01 04 0 03 00213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139,837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183,7</w:t>
            </w:r>
          </w:p>
        </w:tc>
      </w:tr>
      <w:tr w:rsidR="00DA67B4" w:rsidRPr="00DA67B4" w:rsidTr="007C5EEA">
        <w:tc>
          <w:tcPr>
            <w:tcW w:w="311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10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25612,091</w:t>
            </w:r>
          </w:p>
        </w:tc>
        <w:tc>
          <w:tcPr>
            <w:tcW w:w="1416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699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9489,901</w:t>
            </w:r>
          </w:p>
        </w:tc>
        <w:tc>
          <w:tcPr>
            <w:tcW w:w="1275" w:type="dxa"/>
          </w:tcPr>
          <w:p w:rsidR="00DA67B4" w:rsidRPr="00DA67B4" w:rsidRDefault="00DA67B4" w:rsidP="00DA67B4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8088,37</w:t>
            </w:r>
          </w:p>
        </w:tc>
      </w:tr>
    </w:tbl>
    <w:p w:rsidR="00DA67B4" w:rsidRPr="00DA67B4" w:rsidRDefault="00DA67B4" w:rsidP="00DA67B4">
      <w:pPr>
        <w:spacing w:after="140" w:line="240" w:lineRule="auto"/>
        <w:jc w:val="both"/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Структура финансирования  муниципальной программы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Николаевского  городского поселения по направлениям расходов</w:t>
      </w:r>
    </w:p>
    <w:p w:rsidR="00DA67B4" w:rsidRPr="00DA67B4" w:rsidRDefault="00DA67B4" w:rsidP="00DA67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>«Культура муниципального образования «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Николаевское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DA67B4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городское</w:t>
      </w:r>
      <w:r w:rsidRPr="00DA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val="x-none" w:eastAsia="ru-RU"/>
        </w:rPr>
        <w:t>поселение» на 2017-2019 годы»</w:t>
      </w:r>
    </w:p>
    <w:p w:rsidR="00DA67B4" w:rsidRPr="00DA67B4" w:rsidRDefault="00DA67B4" w:rsidP="00DA67B4">
      <w:pPr>
        <w:spacing w:after="140" w:line="240" w:lineRule="auto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DA67B4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549"/>
        <w:gridCol w:w="1577"/>
        <w:gridCol w:w="1745"/>
        <w:gridCol w:w="2081"/>
      </w:tblGrid>
      <w:tr w:rsidR="00DA67B4" w:rsidRPr="00DA67B4" w:rsidTr="007C5EEA">
        <w:trPr>
          <w:trHeight w:val="140"/>
        </w:trPr>
        <w:tc>
          <w:tcPr>
            <w:tcW w:w="2511" w:type="dxa"/>
            <w:vMerge w:val="restart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направления </w:t>
            </w: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</w:t>
            </w:r>
          </w:p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2" w:type="dxa"/>
            <w:gridSpan w:val="4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(</w:t>
            </w:r>
            <w:proofErr w:type="spell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годы</w:t>
            </w:r>
          </w:p>
        </w:tc>
      </w:tr>
      <w:tr w:rsidR="00DA67B4" w:rsidRPr="00DA67B4" w:rsidTr="007C5EEA">
        <w:trPr>
          <w:trHeight w:val="240"/>
        </w:trPr>
        <w:tc>
          <w:tcPr>
            <w:tcW w:w="2511" w:type="dxa"/>
            <w:vMerge/>
          </w:tcPr>
          <w:p w:rsidR="00DA67B4" w:rsidRPr="00DA67B4" w:rsidRDefault="00DA67B4" w:rsidP="00DA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 w:val="restart"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Всего</w:t>
            </w:r>
          </w:p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3" w:type="dxa"/>
            <w:gridSpan w:val="3"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В том числе по годам</w:t>
            </w: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  <w:vMerge/>
          </w:tcPr>
          <w:p w:rsidR="00DA67B4" w:rsidRPr="00DA67B4" w:rsidRDefault="00DA67B4" w:rsidP="00DA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2017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2018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2019</w:t>
            </w:r>
          </w:p>
        </w:tc>
      </w:tr>
      <w:tr w:rsidR="00DA67B4" w:rsidRPr="00DA67B4" w:rsidTr="007C5EEA">
        <w:trPr>
          <w:trHeight w:val="307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23990,691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7868,501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8088,37</w:t>
            </w: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1621,4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1621,4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B4" w:rsidRPr="00DA67B4" w:rsidTr="007C5EEA">
        <w:trPr>
          <w:trHeight w:val="160"/>
        </w:trPr>
        <w:tc>
          <w:tcPr>
            <w:tcW w:w="9463" w:type="dxa"/>
            <w:gridSpan w:val="5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DA67B4" w:rsidRPr="00DA67B4" w:rsidTr="007C5EEA">
        <w:trPr>
          <w:trHeight w:val="587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B4" w:rsidRPr="00DA67B4" w:rsidTr="007C5EEA">
        <w:trPr>
          <w:trHeight w:val="160"/>
        </w:trPr>
        <w:tc>
          <w:tcPr>
            <w:tcW w:w="9463" w:type="dxa"/>
            <w:gridSpan w:val="5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поселения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B4" w:rsidRPr="00DA67B4" w:rsidTr="007C5EEA">
        <w:trPr>
          <w:trHeight w:val="160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B4" w:rsidRPr="00DA67B4" w:rsidTr="007C5EEA">
        <w:trPr>
          <w:trHeight w:val="239"/>
        </w:trPr>
        <w:tc>
          <w:tcPr>
            <w:tcW w:w="251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25612,091</w:t>
            </w:r>
          </w:p>
        </w:tc>
        <w:tc>
          <w:tcPr>
            <w:tcW w:w="1577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8033,82</w:t>
            </w:r>
          </w:p>
        </w:tc>
        <w:tc>
          <w:tcPr>
            <w:tcW w:w="1745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9489,901</w:t>
            </w:r>
          </w:p>
        </w:tc>
        <w:tc>
          <w:tcPr>
            <w:tcW w:w="2081" w:type="dxa"/>
          </w:tcPr>
          <w:p w:rsidR="00DA67B4" w:rsidRPr="00DA67B4" w:rsidRDefault="00DA67B4" w:rsidP="00DA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8088,37</w:t>
            </w:r>
          </w:p>
        </w:tc>
      </w:tr>
    </w:tbl>
    <w:p w:rsidR="00DA67B4" w:rsidRPr="00DA67B4" w:rsidRDefault="00DA67B4" w:rsidP="00DA67B4">
      <w:pPr>
        <w:tabs>
          <w:tab w:val="left" w:pos="36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3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67B4" w:rsidRPr="00DA67B4" w:rsidRDefault="00DA67B4" w:rsidP="00DA67B4">
      <w:pPr>
        <w:tabs>
          <w:tab w:val="left" w:pos="3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 Методика  оценки эффективности муниципальной программы</w:t>
      </w:r>
    </w:p>
    <w:p w:rsidR="00DA67B4" w:rsidRPr="00DA67B4" w:rsidRDefault="00DA67B4" w:rsidP="00DA67B4">
      <w:pPr>
        <w:tabs>
          <w:tab w:val="left" w:pos="27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A67B4" w:rsidRPr="00DA67B4" w:rsidRDefault="00DA67B4" w:rsidP="00DA6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 муниципальной программы осуществляется на основе оценки:</w:t>
      </w:r>
    </w:p>
    <w:p w:rsidR="00DA67B4" w:rsidRPr="00DA67B4" w:rsidRDefault="00DA67B4" w:rsidP="00DA6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Степени достижения целей и решения задач муниципальной программы: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Степень достижения целей и решения задач муниципальной программы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802FCEA" wp14:editId="45AD6756">
            <wp:extent cx="39052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8622F47" wp14:editId="59BC72E2">
            <wp:extent cx="3905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соответствии со следующей формулой: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903BDE" wp14:editId="11557F7B">
            <wp:extent cx="2981325" cy="4191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 wp14:anchorId="18083E45" wp14:editId="0F499378">
            <wp:extent cx="2381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 wp14:anchorId="14AB1121" wp14:editId="01BCCAC0">
            <wp:extent cx="238125" cy="2476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достижения плановых значений показателей муниципальной программы;</w:t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количество показателей программы (определяется в соответствии с </w:t>
      </w:r>
      <w:hyperlink r:id="rId17" w:anchor="Par223" w:history="1"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таблицей № </w:t>
        </w:r>
      </w:hyperlink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3);</w:t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Ф – фактические значения показателей программы за рассматриваемый период;</w:t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планируемые значения достижения показателей муниципальной программы за рассматриваемый период (определяются в соответствии с показателями </w:t>
      </w:r>
      <w:hyperlink r:id="rId18" w:anchor="Par223" w:history="1"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таблицы № </w:t>
        </w:r>
      </w:hyperlink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1,3);</w:t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Эффективности использования средств местного бюджета:</w:t>
      </w:r>
    </w:p>
    <w:p w:rsidR="00DA67B4" w:rsidRPr="00DA67B4" w:rsidRDefault="00DA67B4" w:rsidP="00DA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эффективности использования средств местного бюджета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BADE39" wp14:editId="15EC0C93">
            <wp:extent cx="390525" cy="2571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AB220C" wp14:editId="0F45D425">
            <wp:extent cx="39052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E8423F" wp14:editId="5D422435">
            <wp:extent cx="819150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B4" w:rsidRPr="00DA67B4" w:rsidRDefault="00DA67B4" w:rsidP="00DA67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DA67B4" w:rsidRPr="00DA67B4" w:rsidRDefault="00DA67B4" w:rsidP="00DA67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 wp14:anchorId="4D73DD5E" wp14:editId="7100505D">
            <wp:extent cx="28575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 wp14:anchorId="3417EB3C" wp14:editId="14A8228F">
            <wp:extent cx="28575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эффективности использования бюджетных средств;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 wp14:anchorId="11427F8D" wp14:editId="3F23EF28">
            <wp:extent cx="23812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ru-RU"/>
        </w:rPr>
        <w:drawing>
          <wp:inline distT="0" distB="0" distL="0" distR="0" wp14:anchorId="609AAE71" wp14:editId="292307E2">
            <wp:extent cx="2381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достижения целей и решения задач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муниципальной программы;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eastAsia="ru-RU"/>
        </w:rPr>
        <w:drawing>
          <wp:inline distT="0" distB="0" distL="0" distR="0" wp14:anchorId="3FF232FB" wp14:editId="499AA4C5">
            <wp:extent cx="2952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eastAsia="ru-RU"/>
        </w:rPr>
        <w:drawing>
          <wp:inline distT="0" distB="0" distL="0" distR="0" wp14:anchorId="4CAFEE63" wp14:editId="1459171F">
            <wp:extent cx="29527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показатель степени выполнения запланированного уровня затрат, который рассчитывается по формуле: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D8BADB" wp14:editId="6D853F0B">
            <wp:extent cx="70485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B4" w:rsidRPr="00DA67B4" w:rsidRDefault="00DA67B4" w:rsidP="00DA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DA67B4" w:rsidRPr="00DA67B4" w:rsidRDefault="00DA67B4" w:rsidP="00DA67B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Ф – фактическое использование бюджетных сре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ассматриваемом периоде на реализацию муниципальной программы;</w:t>
      </w:r>
    </w:p>
    <w:p w:rsidR="00DA67B4" w:rsidRPr="00DA67B4" w:rsidRDefault="00DA67B4" w:rsidP="00DA67B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планируемые расходы местного бюджета на реализацию муниципальной программы.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Степени своевременности реализации мероприятий муниципальной программы: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степени своевременности реализации мероприятий муниципальной программы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BD080E2" wp14:editId="78ED298D">
            <wp:extent cx="4762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D60030E" wp14:editId="2761FB3E">
            <wp:extent cx="4762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по формуле: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F0341D" wp14:editId="3E0C3E63">
            <wp:extent cx="154305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B4" w:rsidRPr="00DA67B4" w:rsidRDefault="00DA67B4" w:rsidP="00DA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DA67B4" w:rsidRPr="00DA67B4" w:rsidRDefault="00DA67B4" w:rsidP="00DA67B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QUOTE </w:instrText>
      </w: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C22D8F" wp14:editId="125ABFBD">
            <wp:extent cx="3429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A67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7A61A5" wp14:editId="7800C251">
            <wp:extent cx="3429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степень своевременности реализации мероприятий муниципальной программы (процентов);</w:t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ССН – количество мероприятий, выполненных с соблюдением установленных плановых сроков начала реализации;</w:t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ССЗ – количество мероприятий муниципальной программы, завершенных с соблюдением установленных сроков;</w:t>
      </w:r>
    </w:p>
    <w:p w:rsidR="00DA67B4" w:rsidRPr="00DA67B4" w:rsidRDefault="00DA67B4" w:rsidP="00DA67B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количество мероприятий муниципальной программы (определяется на основании данных </w:t>
      </w:r>
      <w:hyperlink r:id="rId27" w:anchor="Par423" w:history="1">
        <w:r w:rsidRPr="00DA67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таблицы № </w:t>
        </w:r>
      </w:hyperlink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1).</w:t>
      </w:r>
    </w:p>
    <w:p w:rsidR="00DA67B4" w:rsidRPr="00DA67B4" w:rsidRDefault="00DA67B4" w:rsidP="00DA6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Ожидаемые результаты муниципальной программы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задач и достижение главной цели муниципальной программы позволит к 2019 году достигнуть следующих основных результатов:</w:t>
      </w:r>
    </w:p>
    <w:p w:rsidR="00DA67B4" w:rsidRPr="00DA67B4" w:rsidRDefault="00DA67B4" w:rsidP="00DA67B4">
      <w:pPr>
        <w:tabs>
          <w:tab w:val="left" w:pos="53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приобретение периодической печати для комплектования библиотечного фонда МКУ «Центр культуры и досуга» администрации Николаевского городского поселения (филиал библиотеки пос. Николаевка, филиал библиотеки с. Ключевое)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,у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лучшение показателей по посещению читателей на 1,0 %;</w:t>
      </w:r>
    </w:p>
    <w:p w:rsidR="00DA67B4" w:rsidRPr="00DA67B4" w:rsidRDefault="00DA67B4" w:rsidP="00DA67B4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профессионального уровня специалистов через курсы повышения квалификации, участие в семинарах и совещаниях, повысят уровень профессионального мастерства 12 специалистам учреждения культуры;</w:t>
      </w:r>
    </w:p>
    <w:p w:rsidR="00DA67B4" w:rsidRPr="00DA67B4" w:rsidRDefault="00DA67B4" w:rsidP="00DA67B4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численности количества проводимых мероприятий и посещаемости в 0,2%;</w:t>
      </w:r>
    </w:p>
    <w:p w:rsidR="00DA67B4" w:rsidRPr="00DA67B4" w:rsidRDefault="00DA67B4" w:rsidP="00DA67B4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качественное проведение мероприятий в летний период через разнообразные формы досуга, привлечение участия детей из малообеспеченных семей в 0,1 %;</w:t>
      </w:r>
    </w:p>
    <w:p w:rsidR="00DA67B4" w:rsidRPr="00DA67B4" w:rsidRDefault="00DA67B4" w:rsidP="00DA67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количества мероприятий, направленных на повышение уровня самодеятельных артистов,  мероприятий, направленных на утверждение российской гражданственности, воспитание чувства патриотизма, единения народов и пр.;</w:t>
      </w:r>
    </w:p>
    <w:p w:rsidR="00DA67B4" w:rsidRPr="00DA67B4" w:rsidRDefault="00DA67B4" w:rsidP="00DA67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привлечение любительских объединений различных категорий населения для организации творческого досуга;</w:t>
      </w:r>
    </w:p>
    <w:p w:rsidR="00DA67B4" w:rsidRPr="00DA67B4" w:rsidRDefault="00DA67B4" w:rsidP="00DA67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популяризация народного творчества через проведение и участие выставок народного и прикладного творчества.</w:t>
      </w:r>
    </w:p>
    <w:p w:rsidR="00DA67B4" w:rsidRPr="00DA67B4" w:rsidRDefault="00DA67B4" w:rsidP="00DA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Отрасль культуры является сложной, многоуровневой системой, внутри которой решение проблем может быть только комплексным, учитывающим множество смежных факторов. Выполнение основных задач, поставленных перед учреждениями  культуры, позволит в полной мере раскрыть социально-экономический потенциал Николаевского  городского поселения, будет способствовать повышению конкурентоспособности поселения не только на  </w:t>
      </w:r>
      <w:proofErr w:type="gramStart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поселенческом</w:t>
      </w:r>
      <w:proofErr w:type="gramEnd"/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и других уровнях.</w:t>
      </w:r>
    </w:p>
    <w:p w:rsidR="00DA67B4" w:rsidRPr="00DA67B4" w:rsidRDefault="00DA67B4" w:rsidP="00DA6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 будет увеличиваться процент охвата детей, привлеченных к занятиям творчеством.</w:t>
      </w:r>
      <w:bookmarkStart w:id="4" w:name="Par421"/>
      <w:bookmarkStart w:id="5" w:name="Par813"/>
      <w:bookmarkStart w:id="6" w:name="Par856"/>
      <w:bookmarkEnd w:id="4"/>
      <w:bookmarkEnd w:id="5"/>
      <w:bookmarkEnd w:id="6"/>
    </w:p>
    <w:p w:rsidR="00894827" w:rsidRPr="00DA67B4" w:rsidRDefault="00894827" w:rsidP="00553DEE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94827" w:rsidRPr="00DA67B4" w:rsidSect="00DA67B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EB" w:rsidRDefault="008C55EB">
      <w:pPr>
        <w:spacing w:after="0" w:line="240" w:lineRule="auto"/>
      </w:pPr>
      <w:r>
        <w:separator/>
      </w:r>
    </w:p>
  </w:endnote>
  <w:endnote w:type="continuationSeparator" w:id="0">
    <w:p w:rsidR="008C55EB" w:rsidRDefault="008C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EB" w:rsidRDefault="008C55EB">
      <w:pPr>
        <w:spacing w:after="0" w:line="240" w:lineRule="auto"/>
      </w:pPr>
      <w:r>
        <w:separator/>
      </w:r>
    </w:p>
  </w:footnote>
  <w:footnote w:type="continuationSeparator" w:id="0">
    <w:p w:rsidR="008C55EB" w:rsidRDefault="008C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B4" w:rsidRDefault="00DA67B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DA67B4" w:rsidRDefault="00DA67B4" w:rsidP="00106B66">
    <w:pPr>
      <w:pStyle w:val="ab"/>
      <w:tabs>
        <w:tab w:val="clear" w:pos="4677"/>
        <w:tab w:val="clear" w:pos="9355"/>
        <w:tab w:val="left" w:pos="69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60368"/>
    <w:rsid w:val="00061C3D"/>
    <w:rsid w:val="00075008"/>
    <w:rsid w:val="000A0AF4"/>
    <w:rsid w:val="000A7402"/>
    <w:rsid w:val="000C5083"/>
    <w:rsid w:val="000E45A6"/>
    <w:rsid w:val="001223C7"/>
    <w:rsid w:val="001319D7"/>
    <w:rsid w:val="001443A4"/>
    <w:rsid w:val="00155EA0"/>
    <w:rsid w:val="001847B8"/>
    <w:rsid w:val="001C0033"/>
    <w:rsid w:val="001E66A5"/>
    <w:rsid w:val="00222C81"/>
    <w:rsid w:val="00223CF3"/>
    <w:rsid w:val="00225B3F"/>
    <w:rsid w:val="00250D42"/>
    <w:rsid w:val="00295F2A"/>
    <w:rsid w:val="002962CF"/>
    <w:rsid w:val="002A29FF"/>
    <w:rsid w:val="002E164F"/>
    <w:rsid w:val="00303082"/>
    <w:rsid w:val="00305180"/>
    <w:rsid w:val="00306763"/>
    <w:rsid w:val="00345AF8"/>
    <w:rsid w:val="0034798B"/>
    <w:rsid w:val="00357D61"/>
    <w:rsid w:val="0036617A"/>
    <w:rsid w:val="00367723"/>
    <w:rsid w:val="00367DD4"/>
    <w:rsid w:val="0039137A"/>
    <w:rsid w:val="003A32E2"/>
    <w:rsid w:val="003F2314"/>
    <w:rsid w:val="0047340B"/>
    <w:rsid w:val="00490CC0"/>
    <w:rsid w:val="004A119D"/>
    <w:rsid w:val="004B7A0E"/>
    <w:rsid w:val="004C067B"/>
    <w:rsid w:val="004F75E9"/>
    <w:rsid w:val="00515AAE"/>
    <w:rsid w:val="005407DD"/>
    <w:rsid w:val="00553DEE"/>
    <w:rsid w:val="00574218"/>
    <w:rsid w:val="00586881"/>
    <w:rsid w:val="0059243D"/>
    <w:rsid w:val="00603DA4"/>
    <w:rsid w:val="00623BEF"/>
    <w:rsid w:val="006407B5"/>
    <w:rsid w:val="006802DE"/>
    <w:rsid w:val="006D722A"/>
    <w:rsid w:val="00701F8A"/>
    <w:rsid w:val="0073215F"/>
    <w:rsid w:val="00773325"/>
    <w:rsid w:val="007B2C20"/>
    <w:rsid w:val="007F779E"/>
    <w:rsid w:val="008202A3"/>
    <w:rsid w:val="00871B40"/>
    <w:rsid w:val="008739D3"/>
    <w:rsid w:val="0088556E"/>
    <w:rsid w:val="00894827"/>
    <w:rsid w:val="008C55EB"/>
    <w:rsid w:val="008D297E"/>
    <w:rsid w:val="00912E36"/>
    <w:rsid w:val="00933D6F"/>
    <w:rsid w:val="0095334C"/>
    <w:rsid w:val="0096611D"/>
    <w:rsid w:val="00984C9D"/>
    <w:rsid w:val="009868E4"/>
    <w:rsid w:val="009948B5"/>
    <w:rsid w:val="009C2DB2"/>
    <w:rsid w:val="009C7AD6"/>
    <w:rsid w:val="009D6ECE"/>
    <w:rsid w:val="00A2400F"/>
    <w:rsid w:val="00A428BF"/>
    <w:rsid w:val="00A47BE9"/>
    <w:rsid w:val="00A91B95"/>
    <w:rsid w:val="00AA6185"/>
    <w:rsid w:val="00AD70D7"/>
    <w:rsid w:val="00AE1162"/>
    <w:rsid w:val="00AF73A9"/>
    <w:rsid w:val="00B03EC1"/>
    <w:rsid w:val="00B21E20"/>
    <w:rsid w:val="00B27D15"/>
    <w:rsid w:val="00B42C23"/>
    <w:rsid w:val="00B72ABB"/>
    <w:rsid w:val="00B94D51"/>
    <w:rsid w:val="00BA04B0"/>
    <w:rsid w:val="00BA27A6"/>
    <w:rsid w:val="00BE1FCC"/>
    <w:rsid w:val="00C0096B"/>
    <w:rsid w:val="00C01517"/>
    <w:rsid w:val="00C536D4"/>
    <w:rsid w:val="00C61031"/>
    <w:rsid w:val="00C7779F"/>
    <w:rsid w:val="00C91963"/>
    <w:rsid w:val="00CC1C1F"/>
    <w:rsid w:val="00CC4B41"/>
    <w:rsid w:val="00D02B80"/>
    <w:rsid w:val="00D411D9"/>
    <w:rsid w:val="00D45FCF"/>
    <w:rsid w:val="00D51734"/>
    <w:rsid w:val="00D53943"/>
    <w:rsid w:val="00D876AD"/>
    <w:rsid w:val="00D92F1B"/>
    <w:rsid w:val="00D97FDB"/>
    <w:rsid w:val="00DA67B4"/>
    <w:rsid w:val="00DB39A6"/>
    <w:rsid w:val="00DF162B"/>
    <w:rsid w:val="00DF28C7"/>
    <w:rsid w:val="00DF6EE5"/>
    <w:rsid w:val="00E10FA9"/>
    <w:rsid w:val="00E560BE"/>
    <w:rsid w:val="00E92064"/>
    <w:rsid w:val="00EA597C"/>
    <w:rsid w:val="00EA730A"/>
    <w:rsid w:val="00EB4702"/>
    <w:rsid w:val="00EC15F8"/>
    <w:rsid w:val="00EC2A44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807DD"/>
    <w:rsid w:val="00F81FDE"/>
    <w:rsid w:val="00FA56EB"/>
    <w:rsid w:val="00FC1BCC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users/cul_601/appdata/local/temp/&#1044;&#1086;&#1082;&#1091;&#1084;&#1077;&#1085;&#1090;&#1099;/2015%20&#1075;&#1086;&#1076;/AppData/users/cul_601/appdata/local/temp/13_41_08_72.rtf" TargetMode="External"/><Relationship Id="rId18" Type="http://schemas.openxmlformats.org/officeDocument/2006/relationships/hyperlink" Target="&#1044;&#1086;&#1082;&#1091;&#1084;&#1077;&#1085;&#1090;&#1099;/2015%20&#1075;&#1086;&#1076;/AppData/users/cul_601/appdata/local/temp/13_41_08_72.rtf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20D5D3244473940C9F1A378373FFF822C768992E4A3189AB7E9542A9E9597C342F8FD3291D3CsAC3X" TargetMode="External"/><Relationship Id="rId17" Type="http://schemas.openxmlformats.org/officeDocument/2006/relationships/hyperlink" Target="&#1044;&#1086;&#1082;&#1091;&#1084;&#1077;&#1085;&#1090;&#1099;/2015%20&#1075;&#1086;&#1076;/AppData/users/cul_601/appdata/local/temp/13_41_08_72.rtf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yperlink" Target="&#1044;&#1086;&#1082;&#1091;&#1084;&#1077;&#1085;&#1090;&#1099;/2015%20&#1075;&#1086;&#1076;/AppData/users/cul_601/appdata/local/temp/13_41_08_7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7F60-D923-4F22-BD33-68EA9069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10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81</cp:revision>
  <cp:lastPrinted>2019-09-23T04:54:00Z</cp:lastPrinted>
  <dcterms:created xsi:type="dcterms:W3CDTF">2019-05-24T00:26:00Z</dcterms:created>
  <dcterms:modified xsi:type="dcterms:W3CDTF">2019-10-11T01:17:00Z</dcterms:modified>
</cp:coreProperties>
</file>